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Times New Roman" w:hAnsi="Times New Roman" w:eastAsia="黑体"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default" w:ascii="Times New Roman" w:hAnsi="Times New Roman" w:eastAsia="方正小标宋_GBK" w:cs="Times New Roman"/>
          <w:color w:val="000000"/>
          <w:sz w:val="36"/>
          <w:szCs w:val="36"/>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rPr>
        <w:t>年度</w:t>
      </w:r>
      <w:bookmarkStart w:id="0" w:name="_GoBack"/>
      <w:r>
        <w:rPr>
          <w:rFonts w:hint="eastAsia" w:ascii="方正小标宋简体" w:hAnsi="方正小标宋简体" w:eastAsia="方正小标宋简体" w:cs="方正小标宋简体"/>
          <w:color w:val="000000"/>
          <w:sz w:val="44"/>
          <w:szCs w:val="44"/>
        </w:rPr>
        <w:t>项目支出绩效自评表</w:t>
      </w:r>
      <w:bookmarkEnd w:id="0"/>
    </w:p>
    <w:tbl>
      <w:tblPr>
        <w:tblStyle w:val="3"/>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17"/>
        <w:gridCol w:w="1100"/>
        <w:gridCol w:w="150"/>
        <w:gridCol w:w="950"/>
        <w:gridCol w:w="1000"/>
        <w:gridCol w:w="1633"/>
        <w:gridCol w:w="2200"/>
        <w:gridCol w:w="527"/>
        <w:gridCol w:w="1088"/>
        <w:gridCol w:w="419"/>
        <w:gridCol w:w="629"/>
        <w:gridCol w:w="237"/>
        <w:gridCol w:w="684"/>
        <w:gridCol w:w="20"/>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tcBorders>
              <w:tl2br w:val="nil"/>
              <w:tr2bl w:val="nil"/>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12707" w:type="dxa"/>
            <w:gridSpan w:val="15"/>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业务工作经费</w:t>
            </w: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92"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5850" w:type="dxa"/>
            <w:gridSpan w:val="6"/>
            <w:tcBorders>
              <w:tl2br w:val="nil"/>
              <w:tr2bl w:val="nil"/>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湖南省信访局</w:t>
            </w:r>
          </w:p>
        </w:tc>
        <w:tc>
          <w:tcPr>
            <w:tcW w:w="2727"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4130" w:type="dxa"/>
            <w:gridSpan w:val="7"/>
            <w:tcBorders>
              <w:tl2br w:val="nil"/>
              <w:tr2bl w:val="nil"/>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湖南省信访局本级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267"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9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63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2727" w:type="dxa"/>
            <w:gridSpan w:val="2"/>
            <w:tcBorders>
              <w:tl2br w:val="nil"/>
              <w:tr2bl w:val="nil"/>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1088" w:type="dxa"/>
            <w:tcBorders>
              <w:tl2br w:val="nil"/>
              <w:tr2bl w:val="nil"/>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1048" w:type="dxa"/>
            <w:gridSpan w:val="2"/>
            <w:tcBorders>
              <w:tl2br w:val="nil"/>
              <w:tr2bl w:val="nil"/>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994" w:type="dxa"/>
            <w:gridSpan w:val="4"/>
            <w:tcBorders>
              <w:tl2br w:val="nil"/>
              <w:tr2bl w:val="nil"/>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2267"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9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1234.22</w:t>
            </w:r>
          </w:p>
        </w:tc>
        <w:tc>
          <w:tcPr>
            <w:tcW w:w="163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1983.98</w:t>
            </w:r>
          </w:p>
        </w:tc>
        <w:tc>
          <w:tcPr>
            <w:tcW w:w="2727"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Times New Roman"/>
                <w:color w:val="000000"/>
                <w:sz w:val="20"/>
                <w:szCs w:val="20"/>
                <w:lang w:val="en-US" w:eastAsia="zh-CN"/>
              </w:rPr>
              <w:t>1472.51</w:t>
            </w:r>
          </w:p>
        </w:tc>
        <w:tc>
          <w:tcPr>
            <w:tcW w:w="1088"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8"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75.45%</w:t>
            </w:r>
          </w:p>
        </w:tc>
        <w:tc>
          <w:tcPr>
            <w:tcW w:w="1994" w:type="dxa"/>
            <w:gridSpan w:val="4"/>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2267"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9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1234.22</w:t>
            </w:r>
          </w:p>
        </w:tc>
        <w:tc>
          <w:tcPr>
            <w:tcW w:w="1633" w:type="dxa"/>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1983.98</w:t>
            </w:r>
          </w:p>
        </w:tc>
        <w:tc>
          <w:tcPr>
            <w:tcW w:w="2727"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1472.51</w:t>
            </w:r>
          </w:p>
        </w:tc>
        <w:tc>
          <w:tcPr>
            <w:tcW w:w="1088" w:type="dxa"/>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10</w:t>
            </w:r>
          </w:p>
        </w:tc>
        <w:tc>
          <w:tcPr>
            <w:tcW w:w="1048"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75.45%</w:t>
            </w:r>
          </w:p>
        </w:tc>
        <w:tc>
          <w:tcPr>
            <w:tcW w:w="1994" w:type="dxa"/>
            <w:gridSpan w:val="4"/>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2267" w:type="dxa"/>
            <w:gridSpan w:val="3"/>
            <w:tcBorders>
              <w:tl2br w:val="nil"/>
              <w:tr2bl w:val="nil"/>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9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163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2727"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1088"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1048"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1994" w:type="dxa"/>
            <w:gridSpan w:val="4"/>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2267" w:type="dxa"/>
            <w:gridSpan w:val="3"/>
            <w:tcBorders>
              <w:tl2br w:val="nil"/>
              <w:tr2bl w:val="nil"/>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9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163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2727"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1088"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1048"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1994" w:type="dxa"/>
            <w:gridSpan w:val="4"/>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2"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5850" w:type="dxa"/>
            <w:gridSpan w:val="6"/>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6857" w:type="dxa"/>
            <w:gridSpan w:val="9"/>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jc w:val="center"/>
        </w:trPr>
        <w:tc>
          <w:tcPr>
            <w:tcW w:w="109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5850" w:type="dxa"/>
            <w:gridSpan w:val="6"/>
            <w:tcBorders>
              <w:tl2br w:val="nil"/>
              <w:tr2bl w:val="nil"/>
            </w:tcBorders>
            <w:noWrap w:val="0"/>
            <w:vAlign w:val="center"/>
          </w:tcPr>
          <w:p>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坚持习近平总书记“以人民为中心”的思想为指导，严格落实关于信访工作的批示指示精神。一是加快智慧信访信息化建设。抓好来信来访和网上信访的受理办理，即时实施网上交办督办，继续开展各级领导干部下访接访，以及政府各职能部门联合接访，及时就地化解矛盾；二是继续开展积案化解工作。积极开展“治理重复信访、化解信访积案”活动，用好信访救助资金，加强对“三跨三分离”等信访疑难问题解决。三是加大督查督办力度。对反复重访的信访问题要加大督办督查力度，到信访群众家了解实际情况，组织相关责任单位召开联合接谈会议，现地督办，化解问题。四是继续加大追责问责力度。对因责任单位和责任人工作不力，发生信访问题，且解决不力的，要严格追究责任单位和相关责任人的责任。加大信访工作责任制落实力度，以责任落实推动工作落实，切实推动群众诉求的解决，更好地维护人民群众的合法权益，为中心工作创造和谐稳定的社会效益。　</w:t>
            </w:r>
          </w:p>
        </w:tc>
        <w:tc>
          <w:tcPr>
            <w:tcW w:w="6857" w:type="dxa"/>
            <w:gridSpan w:val="9"/>
            <w:tcBorders>
              <w:tl2br w:val="nil"/>
              <w:tr2bl w:val="nil"/>
            </w:tcBorders>
            <w:noWrap w:val="0"/>
            <w:vAlign w:val="center"/>
          </w:tcPr>
          <w:p>
            <w:pPr>
              <w:widowControl/>
              <w:jc w:val="left"/>
              <w:rPr>
                <w:rFonts w:hint="default"/>
              </w:rPr>
            </w:pPr>
            <w:r>
              <w:rPr>
                <w:rFonts w:hint="default"/>
              </w:rPr>
              <w:t>　</w:t>
            </w:r>
          </w:p>
          <w:p>
            <w:pPr>
              <w:widowControl/>
              <w:jc w:val="left"/>
              <w:rPr>
                <w:rFonts w:hint="default"/>
              </w:rPr>
            </w:pPr>
            <w:r>
              <w:rPr>
                <w:rFonts w:hint="eastAsia" w:ascii="仿宋_GB2312" w:hAnsi="仿宋_GB2312" w:eastAsia="仿宋_GB2312" w:cs="仿宋_GB2312"/>
              </w:rPr>
              <w:t>2022年，全省信访系统在省委省政府的坚强领导下，坚持以习近平新时代中国特色社会主义思想为指导，全省信访系统扛牢为民解难、为党分忧的政治责任，以做好党的二十大信访安全保障工作为主线，深入实施《信访工作条例》，坚持人民至上，聚焦突出问题，树牢底线思维，推进工作落实，在维护群众合法权益、促进社会和谐稳定等方面取得显著成效。在1月14日的全国信访局长会议上国家信访局对我省省级党政领导带头联系督导信访工作并领办督办突出问题予以充分肯定，通报我省有14个县市区成功创建为全国信访工作示范县市区（获评占比位居全国前列），我省信访工作考核得分排名全国前列，获评优秀等次。中央主要媒体对我省信访工作的宣传报道力度空前，人民日报、新华每日电讯、法治日报、中国青年报、人民政协报等和中央信访联席会议《快报》、《人民信访》、国家信访局“一网一微一端”宣传报道141篇次，3个集体、18名个人在第九次全国信访工作会议上受到表彰，9个集体、18名个人荣获全国信访积案化解专项工作先进集体和先进个人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17"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100"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100" w:type="dxa"/>
            <w:gridSpan w:val="2"/>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4833" w:type="dxa"/>
            <w:gridSpan w:val="3"/>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2034" w:type="dxa"/>
            <w:gridSpan w:val="3"/>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866" w:type="dxa"/>
            <w:gridSpan w:val="2"/>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684"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073" w:type="dxa"/>
            <w:gridSpan w:val="2"/>
            <w:tcBorders>
              <w:tl2br w:val="nil"/>
              <w:tr2bl w:val="nil"/>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17" w:type="dxa"/>
            <w:vMerge w:val="restart"/>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ind w:left="0" w:leftChars="0" w:right="0" w:rightChars="0" w:firstLine="0" w:firstLineChars="0"/>
              <w:jc w:val="center"/>
              <w:rPr>
                <w:rFonts w:hint="default" w:ascii="Times New Roman" w:hAnsi="Times New Roman" w:eastAsia="仿宋_GB2312" w:cs="Times New Roman"/>
                <w:color w:val="000000"/>
                <w:sz w:val="20"/>
                <w:szCs w:val="20"/>
              </w:rPr>
            </w:pPr>
          </w:p>
          <w:p>
            <w:pPr>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10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100" w:type="dxa"/>
            <w:gridSpan w:val="2"/>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4833"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加大信访积案化解力度，2023年信访总量总体下降到25%以上。</w:t>
            </w:r>
          </w:p>
        </w:tc>
        <w:tc>
          <w:tcPr>
            <w:tcW w:w="2034" w:type="dxa"/>
            <w:gridSpan w:val="3"/>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完成全年工作任务</w:t>
            </w:r>
          </w:p>
        </w:tc>
        <w:tc>
          <w:tcPr>
            <w:tcW w:w="8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684"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07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17"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仿宋_GB2312" w:cs="Times New Roman"/>
                <w:color w:val="000000"/>
                <w:sz w:val="20"/>
                <w:szCs w:val="20"/>
              </w:rPr>
            </w:pPr>
          </w:p>
        </w:tc>
        <w:tc>
          <w:tcPr>
            <w:tcW w:w="110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100" w:type="dxa"/>
            <w:gridSpan w:val="2"/>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4833"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强力推进“治理重复信访、化解信访积案”专项工作。全年化解重复信访、化解信访积案率达到85%以上。</w:t>
            </w:r>
          </w:p>
        </w:tc>
        <w:tc>
          <w:tcPr>
            <w:tcW w:w="2034" w:type="dxa"/>
            <w:gridSpan w:val="3"/>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完成全年工作任务</w:t>
            </w:r>
          </w:p>
        </w:tc>
        <w:tc>
          <w:tcPr>
            <w:tcW w:w="8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w:t>
            </w:r>
          </w:p>
        </w:tc>
        <w:tc>
          <w:tcPr>
            <w:tcW w:w="684"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w:t>
            </w:r>
          </w:p>
        </w:tc>
        <w:tc>
          <w:tcPr>
            <w:tcW w:w="107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17"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仿宋_GB2312" w:cs="Times New Roman"/>
                <w:color w:val="000000"/>
                <w:sz w:val="20"/>
                <w:szCs w:val="20"/>
              </w:rPr>
            </w:pPr>
          </w:p>
        </w:tc>
        <w:tc>
          <w:tcPr>
            <w:tcW w:w="110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100" w:type="dxa"/>
            <w:gridSpan w:val="2"/>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4833"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2022年度信访工作完成出色，工作完成率达到90%以上。</w:t>
            </w:r>
          </w:p>
        </w:tc>
        <w:tc>
          <w:tcPr>
            <w:tcW w:w="2034" w:type="dxa"/>
            <w:gridSpan w:val="3"/>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完成全年工作任务</w:t>
            </w:r>
          </w:p>
        </w:tc>
        <w:tc>
          <w:tcPr>
            <w:tcW w:w="8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684"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07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9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17" w:type="dxa"/>
            <w:vMerge w:val="continue"/>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p>
        </w:tc>
        <w:tc>
          <w:tcPr>
            <w:tcW w:w="110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100" w:type="dxa"/>
            <w:gridSpan w:val="2"/>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4833"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2022年度业务工作费用1234.22万元</w:t>
            </w:r>
          </w:p>
        </w:tc>
        <w:tc>
          <w:tcPr>
            <w:tcW w:w="2034" w:type="dxa"/>
            <w:gridSpan w:val="3"/>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r>
              <w:rPr>
                <w:rFonts w:hint="default" w:ascii="Times New Roman" w:hAnsi="Times New Roman" w:eastAsia="仿宋_GB2312" w:cs="Times New Roman"/>
                <w:color w:val="000000"/>
                <w:spacing w:val="-6"/>
                <w:sz w:val="20"/>
                <w:szCs w:val="20"/>
              </w:rPr>
              <w:t>支出1472.</w:t>
            </w:r>
            <w:r>
              <w:rPr>
                <w:rFonts w:hint="eastAsia" w:ascii="Times New Roman" w:hAnsi="Times New Roman" w:eastAsia="仿宋_GB2312" w:cs="Times New Roman"/>
                <w:color w:val="000000"/>
                <w:spacing w:val="-6"/>
                <w:sz w:val="20"/>
                <w:szCs w:val="20"/>
                <w:lang w:val="en-US" w:eastAsia="zh-CN"/>
              </w:rPr>
              <w:t>51</w:t>
            </w:r>
            <w:r>
              <w:rPr>
                <w:rFonts w:hint="default" w:ascii="Times New Roman" w:hAnsi="Times New Roman" w:eastAsia="仿宋_GB2312" w:cs="Times New Roman"/>
                <w:color w:val="000000"/>
                <w:spacing w:val="-6"/>
                <w:sz w:val="20"/>
                <w:szCs w:val="20"/>
              </w:rPr>
              <w:t>万元</w:t>
            </w:r>
          </w:p>
        </w:tc>
        <w:tc>
          <w:tcPr>
            <w:tcW w:w="8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684"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07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17" w:type="dxa"/>
            <w:vMerge w:val="restart"/>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ind w:left="0" w:leftChars="0" w:right="0" w:rightChars="0" w:firstLine="0" w:firstLineChars="0"/>
              <w:jc w:val="center"/>
              <w:rPr>
                <w:rFonts w:hint="default" w:ascii="Times New Roman" w:hAnsi="Times New Roman" w:eastAsia="仿宋_GB2312" w:cs="Times New Roman"/>
                <w:color w:val="000000"/>
                <w:sz w:val="20"/>
                <w:szCs w:val="20"/>
              </w:rPr>
            </w:pPr>
          </w:p>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ind w:left="0" w:leftChars="0" w:right="0" w:rightChars="0" w:firstLine="0" w:firstLineChars="0"/>
              <w:jc w:val="center"/>
              <w:rPr>
                <w:rFonts w:hint="default" w:ascii="Times New Roman" w:hAnsi="Times New Roman" w:eastAsia="仿宋_GB2312" w:cs="Times New Roman"/>
                <w:color w:val="000000"/>
                <w:sz w:val="20"/>
                <w:szCs w:val="20"/>
              </w:rPr>
            </w:pPr>
          </w:p>
        </w:tc>
        <w:tc>
          <w:tcPr>
            <w:tcW w:w="110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经济效益指标</w:t>
            </w:r>
          </w:p>
        </w:tc>
        <w:tc>
          <w:tcPr>
            <w:tcW w:w="1100" w:type="dxa"/>
            <w:gridSpan w:val="2"/>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经济效益指标</w:t>
            </w:r>
          </w:p>
        </w:tc>
        <w:tc>
          <w:tcPr>
            <w:tcW w:w="4833"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一是建立健全基层信访工作网络；二是要完善源头化解的工作机制；三要拓宽社会力量参与的制度渠道。</w:t>
            </w:r>
          </w:p>
        </w:tc>
        <w:tc>
          <w:tcPr>
            <w:tcW w:w="2034" w:type="dxa"/>
            <w:gridSpan w:val="3"/>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完成全年工作任务</w:t>
            </w:r>
          </w:p>
        </w:tc>
        <w:tc>
          <w:tcPr>
            <w:tcW w:w="8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684"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07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9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17" w:type="dxa"/>
            <w:vMerge w:val="continue"/>
            <w:tcBorders>
              <w:tl2br w:val="nil"/>
              <w:tr2bl w:val="nil"/>
            </w:tcBorders>
            <w:noWrap w:val="0"/>
            <w:vAlign w:val="center"/>
          </w:tcPr>
          <w:p>
            <w:pPr>
              <w:ind w:left="0" w:leftChars="0" w:right="0" w:rightChars="0" w:firstLine="0" w:firstLineChars="0"/>
              <w:jc w:val="center"/>
              <w:rPr>
                <w:rFonts w:hint="default" w:ascii="Times New Roman" w:hAnsi="Times New Roman" w:eastAsia="仿宋_GB2312" w:cs="Times New Roman"/>
                <w:color w:val="000000"/>
                <w:sz w:val="20"/>
                <w:szCs w:val="20"/>
              </w:rPr>
            </w:pPr>
          </w:p>
        </w:tc>
        <w:tc>
          <w:tcPr>
            <w:tcW w:w="1100" w:type="dxa"/>
            <w:tcBorders>
              <w:tl2br w:val="nil"/>
              <w:tr2bl w:val="nil"/>
            </w:tcBorders>
            <w:noWrap w:val="0"/>
            <w:vAlign w:val="center"/>
          </w:tcPr>
          <w:p>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社会效益指标</w:t>
            </w:r>
          </w:p>
        </w:tc>
        <w:tc>
          <w:tcPr>
            <w:tcW w:w="1100" w:type="dxa"/>
            <w:gridSpan w:val="2"/>
            <w:tcBorders>
              <w:tl2br w:val="nil"/>
              <w:tr2bl w:val="nil"/>
            </w:tcBorders>
            <w:noWrap w:val="0"/>
            <w:vAlign w:val="center"/>
          </w:tcPr>
          <w:p>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社会效益指标</w:t>
            </w:r>
          </w:p>
        </w:tc>
        <w:tc>
          <w:tcPr>
            <w:tcW w:w="4833"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有效解决信访重点领域、重点群众、重点人员的信访问题，保持社会稳定。</w:t>
            </w:r>
          </w:p>
        </w:tc>
        <w:tc>
          <w:tcPr>
            <w:tcW w:w="2034" w:type="dxa"/>
            <w:gridSpan w:val="3"/>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完成全年工作任务</w:t>
            </w:r>
          </w:p>
        </w:tc>
        <w:tc>
          <w:tcPr>
            <w:tcW w:w="866" w:type="dxa"/>
            <w:gridSpan w:val="2"/>
            <w:tcBorders>
              <w:tl2br w:val="nil"/>
              <w:tr2bl w:val="nil"/>
            </w:tcBorders>
            <w:noWrap w:val="0"/>
            <w:vAlign w:val="center"/>
          </w:tcPr>
          <w:p>
            <w:pPr>
              <w:widowControl/>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684" w:type="dxa"/>
            <w:tcBorders>
              <w:tl2br w:val="nil"/>
              <w:tr2bl w:val="nil"/>
            </w:tcBorders>
            <w:noWrap w:val="0"/>
            <w:vAlign w:val="center"/>
          </w:tcPr>
          <w:p>
            <w:pPr>
              <w:widowControl/>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107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1017" w:type="dxa"/>
            <w:vMerge w:val="continue"/>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p>
        </w:tc>
        <w:tc>
          <w:tcPr>
            <w:tcW w:w="110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生态效益指标</w:t>
            </w:r>
          </w:p>
        </w:tc>
        <w:tc>
          <w:tcPr>
            <w:tcW w:w="1100" w:type="dxa"/>
            <w:gridSpan w:val="2"/>
            <w:tcBorders>
              <w:tl2br w:val="nil"/>
              <w:tr2bl w:val="nil"/>
            </w:tcBorders>
            <w:noWrap w:val="0"/>
            <w:vAlign w:val="center"/>
          </w:tcPr>
          <w:p>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生态效益指标</w:t>
            </w:r>
          </w:p>
        </w:tc>
        <w:tc>
          <w:tcPr>
            <w:tcW w:w="4833"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一是加强网上信访和群众“人民来信”信访渠道建设，减少进京赴省信访总量；二是加强督查督办力度，突出解决重点问题。</w:t>
            </w:r>
          </w:p>
        </w:tc>
        <w:tc>
          <w:tcPr>
            <w:tcW w:w="2034" w:type="dxa"/>
            <w:gridSpan w:val="3"/>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完成全年工作任务</w:t>
            </w:r>
          </w:p>
        </w:tc>
        <w:tc>
          <w:tcPr>
            <w:tcW w:w="866" w:type="dxa"/>
            <w:gridSpan w:val="2"/>
            <w:tcBorders>
              <w:tl2br w:val="nil"/>
              <w:tr2bl w:val="nil"/>
            </w:tcBorders>
            <w:noWrap w:val="0"/>
            <w:vAlign w:val="center"/>
          </w:tcPr>
          <w:p>
            <w:pPr>
              <w:widowControl/>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684" w:type="dxa"/>
            <w:tcBorders>
              <w:tl2br w:val="nil"/>
              <w:tr2bl w:val="nil"/>
            </w:tcBorders>
            <w:noWrap w:val="0"/>
            <w:vAlign w:val="center"/>
          </w:tcPr>
          <w:p>
            <w:pPr>
              <w:widowControl/>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107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17" w:type="dxa"/>
            <w:vMerge w:val="continue"/>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p>
        </w:tc>
        <w:tc>
          <w:tcPr>
            <w:tcW w:w="110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w:t>
            </w:r>
          </w:p>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影响指标</w:t>
            </w:r>
          </w:p>
        </w:tc>
        <w:tc>
          <w:tcPr>
            <w:tcW w:w="1100" w:type="dxa"/>
            <w:gridSpan w:val="2"/>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w:t>
            </w:r>
          </w:p>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影响指标</w:t>
            </w:r>
          </w:p>
        </w:tc>
        <w:tc>
          <w:tcPr>
            <w:tcW w:w="4833"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一是保障信访工作的连续性，建立健全解决信访突出问题化解机制；二是加强信访网上信访信息系统智能化建设和保障好“人民来信”绿色通道建设；三是加强部门协调，提高办理群众来信来访和网上信访的工作力度。</w:t>
            </w:r>
          </w:p>
        </w:tc>
        <w:tc>
          <w:tcPr>
            <w:tcW w:w="2034" w:type="dxa"/>
            <w:gridSpan w:val="3"/>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完成全年工作任务</w:t>
            </w:r>
          </w:p>
        </w:tc>
        <w:tc>
          <w:tcPr>
            <w:tcW w:w="8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684"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07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1017"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100" w:type="dxa"/>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w:t>
            </w:r>
          </w:p>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满意度指标</w:t>
            </w:r>
          </w:p>
        </w:tc>
        <w:tc>
          <w:tcPr>
            <w:tcW w:w="1100" w:type="dxa"/>
            <w:gridSpan w:val="2"/>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w:t>
            </w:r>
          </w:p>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满意度指标</w:t>
            </w:r>
          </w:p>
        </w:tc>
        <w:tc>
          <w:tcPr>
            <w:tcW w:w="4833"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一是完善全省信访信息系统群众满意度评价体系；二是督促指导信访人做好信访事项初信初访满意度评价，信访人满意度达到90以上；三是加大治理重复信访、化解信访积案重点问题力度，解决好本专区、本部门本系统信访突出矛盾。</w:t>
            </w:r>
          </w:p>
        </w:tc>
        <w:tc>
          <w:tcPr>
            <w:tcW w:w="2034" w:type="dxa"/>
            <w:gridSpan w:val="3"/>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群众满意度评价90%以上。</w:t>
            </w:r>
          </w:p>
        </w:tc>
        <w:tc>
          <w:tcPr>
            <w:tcW w:w="8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684"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07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142" w:type="dxa"/>
            <w:gridSpan w:val="8"/>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2034" w:type="dxa"/>
            <w:gridSpan w:val="3"/>
            <w:tcBorders>
              <w:tl2br w:val="nil"/>
              <w:tr2bl w:val="nil"/>
            </w:tcBorders>
            <w:noWrap w:val="0"/>
            <w:vAlign w:val="center"/>
          </w:tcPr>
          <w:p>
            <w:pPr>
              <w:widowControl/>
              <w:ind w:left="0" w:leftChars="0" w:right="0" w:rightChars="0" w:firstLine="0" w:firstLineChars="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66"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100</w:t>
            </w:r>
          </w:p>
        </w:tc>
        <w:tc>
          <w:tcPr>
            <w:tcW w:w="704"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97.5</w:t>
            </w:r>
          </w:p>
        </w:tc>
        <w:tc>
          <w:tcPr>
            <w:tcW w:w="1053" w:type="dxa"/>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r>
    </w:tbl>
    <w:p>
      <w:pPr>
        <w:rPr>
          <w:rFonts w:hint="default" w:ascii="Times New Roman" w:hAnsi="Times New Roman" w:eastAsia="仿宋_GB2312" w:cs="Times New Roman"/>
          <w:sz w:val="18"/>
          <w:szCs w:val="18"/>
        </w:rPr>
      </w:pPr>
    </w:p>
    <w:p>
      <w:pPr>
        <w:rPr>
          <w:rFonts w:hint="eastAsia" w:ascii="Times New Roman" w:hAnsi="Times New Roman" w:eastAsia="仿宋_GB2312" w:cs="Times New Roman"/>
          <w:sz w:val="22"/>
          <w:szCs w:val="22"/>
          <w:lang w:eastAsia="zh-CN"/>
        </w:rPr>
      </w:pP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备注：一个一级项目支出一张表。</w:t>
      </w:r>
      <w:r>
        <w:rPr>
          <w:rFonts w:hint="eastAsia" w:ascii="Times New Roman" w:hAnsi="Times New Roman" w:eastAsia="仿宋_GB2312" w:cs="Times New Roman"/>
          <w:sz w:val="22"/>
          <w:szCs w:val="22"/>
          <w:lang w:eastAsia="zh-CN"/>
        </w:rPr>
        <w:t>如，</w:t>
      </w:r>
      <w:r>
        <w:rPr>
          <w:rFonts w:hint="default" w:ascii="Times New Roman" w:hAnsi="Times New Roman" w:eastAsia="仿宋_GB2312" w:cs="Times New Roman"/>
          <w:sz w:val="22"/>
          <w:szCs w:val="22"/>
        </w:rPr>
        <w:t>业务工作经费</w:t>
      </w:r>
      <w:r>
        <w:rPr>
          <w:rFonts w:hint="eastAsia" w:ascii="Times New Roman" w:hAnsi="Times New Roman" w:eastAsia="仿宋_GB2312" w:cs="Times New Roman"/>
          <w:sz w:val="22"/>
          <w:szCs w:val="22"/>
          <w:lang w:eastAsia="zh-CN"/>
        </w:rPr>
        <w:t>，</w:t>
      </w:r>
      <w:r>
        <w:rPr>
          <w:rFonts w:hint="default" w:ascii="Times New Roman" w:hAnsi="Times New Roman" w:eastAsia="仿宋_GB2312" w:cs="Times New Roman"/>
          <w:sz w:val="22"/>
          <w:szCs w:val="22"/>
        </w:rPr>
        <w:t>运行维护经费</w:t>
      </w:r>
      <w:r>
        <w:rPr>
          <w:rFonts w:hint="eastAsia" w:ascii="Times New Roman" w:hAnsi="Times New Roman" w:eastAsia="仿宋_GB2312" w:cs="Times New Roman"/>
          <w:sz w:val="22"/>
          <w:szCs w:val="22"/>
          <w:lang w:eastAsia="zh-CN"/>
        </w:rPr>
        <w:t>，其他事业发展类资金…各一张表。</w:t>
      </w:r>
    </w:p>
    <w:p>
      <w:pPr>
        <w:ind w:firstLine="220" w:firstLineChars="100"/>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范建平</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填报日期：</w:t>
      </w:r>
      <w:r>
        <w:rPr>
          <w:rFonts w:hint="eastAsia" w:ascii="Times New Roman" w:hAnsi="Times New Roman" w:eastAsia="仿宋_GB2312" w:cs="Times New Roman"/>
          <w:sz w:val="22"/>
          <w:szCs w:val="22"/>
          <w:lang w:val="en-US" w:eastAsia="zh-CN"/>
        </w:rPr>
        <w:t>2023年5月22</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81125819</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Pr>
        <w:keepNext w:val="0"/>
        <w:keepLines w:val="0"/>
        <w:pageBreakBefore w:val="0"/>
        <w:widowControl/>
        <w:kinsoku/>
        <w:wordWrap/>
        <w:overflowPunct/>
        <w:topLinePunct w:val="0"/>
        <w:autoSpaceDE/>
        <w:autoSpaceDN/>
        <w:bidi w:val="0"/>
        <w:adjustRightInd/>
        <w:snapToGrid/>
        <w:spacing w:line="100" w:lineRule="exact"/>
        <w:ind w:left="0" w:leftChars="0" w:right="0" w:rightChars="0" w:firstLine="0" w:firstLineChars="0"/>
        <w:jc w:val="left"/>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rPr>
        <w:br w:type="page"/>
      </w:r>
    </w:p>
    <w:p>
      <w:pPr>
        <w:widowControl/>
        <w:spacing w:line="600" w:lineRule="exact"/>
        <w:ind w:left="0" w:leftChars="0" w:right="0" w:rightChars="0" w:firstLine="0" w:firstLineChars="0"/>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default" w:ascii="Times New Roman" w:hAnsi="Times New Roman" w:eastAsia="方正小标宋_GBK" w:cs="Times New Roman"/>
          <w:color w:val="000000"/>
          <w:sz w:val="36"/>
          <w:szCs w:val="36"/>
          <w:lang w:val="en-US" w:eastAsia="zh-CN"/>
        </w:rPr>
        <w:t>2</w:t>
      </w:r>
      <w:r>
        <w:rPr>
          <w:rFonts w:hint="default" w:ascii="Times New Roman" w:hAnsi="Times New Roman" w:eastAsia="方正小标宋_GBK" w:cs="Times New Roman"/>
          <w:color w:val="000000"/>
          <w:sz w:val="36"/>
          <w:szCs w:val="36"/>
        </w:rPr>
        <w:t>年度项目支出绩效自评表</w:t>
      </w:r>
    </w:p>
    <w:p>
      <w:pPr>
        <w:rPr>
          <w:rFonts w:hint="default" w:ascii="Times New Roman" w:hAnsi="Times New Roman" w:eastAsia="仿宋_GB2312" w:cs="Times New Roman"/>
          <w:sz w:val="22"/>
          <w:szCs w:val="22"/>
        </w:rPr>
      </w:pPr>
    </w:p>
    <w:tbl>
      <w:tblPr>
        <w:tblStyle w:val="3"/>
        <w:tblW w:w="13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034"/>
        <w:gridCol w:w="1083"/>
        <w:gridCol w:w="200"/>
        <w:gridCol w:w="850"/>
        <w:gridCol w:w="917"/>
        <w:gridCol w:w="1650"/>
        <w:gridCol w:w="1683"/>
        <w:gridCol w:w="167"/>
        <w:gridCol w:w="1633"/>
        <w:gridCol w:w="633"/>
        <w:gridCol w:w="1067"/>
        <w:gridCol w:w="767"/>
        <w:gridCol w:w="5"/>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2" w:type="dxa"/>
            <w:tcBorders>
              <w:tl2br w:val="nil"/>
              <w:tr2bl w:val="nil"/>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12767" w:type="dxa"/>
            <w:gridSpan w:val="14"/>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运行维护经费</w:t>
            </w: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2" w:type="dxa"/>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5734" w:type="dxa"/>
            <w:gridSpan w:val="6"/>
            <w:tcBorders>
              <w:tl2br w:val="nil"/>
              <w:tr2bl w:val="nil"/>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湖南省信访局</w:t>
            </w:r>
          </w:p>
        </w:tc>
        <w:tc>
          <w:tcPr>
            <w:tcW w:w="16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5350" w:type="dxa"/>
            <w:gridSpan w:val="7"/>
            <w:tcBorders>
              <w:tl2br w:val="nil"/>
              <w:tr2bl w:val="nil"/>
            </w:tcBorders>
            <w:noWrap w:val="0"/>
            <w:vAlign w:val="center"/>
          </w:tcPr>
          <w:p>
            <w:pPr>
              <w:widowControl/>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eastAsia="zh-CN"/>
              </w:rPr>
              <w:t>湖南省信访局本级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52"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317"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767"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650"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683" w:type="dxa"/>
            <w:tcBorders>
              <w:tl2br w:val="nil"/>
              <w:tr2bl w:val="nil"/>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1800" w:type="dxa"/>
            <w:gridSpan w:val="2"/>
            <w:tcBorders>
              <w:tl2br w:val="nil"/>
              <w:tr2bl w:val="nil"/>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1700" w:type="dxa"/>
            <w:gridSpan w:val="2"/>
            <w:tcBorders>
              <w:tl2br w:val="nil"/>
              <w:tr2bl w:val="nil"/>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850" w:type="dxa"/>
            <w:gridSpan w:val="3"/>
            <w:tcBorders>
              <w:tl2br w:val="nil"/>
              <w:tr2bl w:val="nil"/>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2317"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767"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175.1</w:t>
            </w:r>
          </w:p>
        </w:tc>
        <w:tc>
          <w:tcPr>
            <w:tcW w:w="1650"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288</w:t>
            </w:r>
          </w:p>
        </w:tc>
        <w:tc>
          <w:tcPr>
            <w:tcW w:w="16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259.49</w:t>
            </w:r>
          </w:p>
        </w:tc>
        <w:tc>
          <w:tcPr>
            <w:tcW w:w="180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70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90%</w:t>
            </w:r>
          </w:p>
        </w:tc>
        <w:tc>
          <w:tcPr>
            <w:tcW w:w="1850" w:type="dxa"/>
            <w:gridSpan w:val="3"/>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2317"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767"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175.1</w:t>
            </w:r>
          </w:p>
        </w:tc>
        <w:tc>
          <w:tcPr>
            <w:tcW w:w="1650" w:type="dxa"/>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288</w:t>
            </w:r>
          </w:p>
        </w:tc>
        <w:tc>
          <w:tcPr>
            <w:tcW w:w="1683" w:type="dxa"/>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259.49</w:t>
            </w:r>
          </w:p>
        </w:tc>
        <w:tc>
          <w:tcPr>
            <w:tcW w:w="180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10</w:t>
            </w:r>
          </w:p>
        </w:tc>
        <w:tc>
          <w:tcPr>
            <w:tcW w:w="170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90%</w:t>
            </w:r>
          </w:p>
        </w:tc>
        <w:tc>
          <w:tcPr>
            <w:tcW w:w="1850" w:type="dxa"/>
            <w:gridSpan w:val="3"/>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2317" w:type="dxa"/>
            <w:gridSpan w:val="3"/>
            <w:tcBorders>
              <w:tl2br w:val="nil"/>
              <w:tr2bl w:val="nil"/>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767"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650" w:type="dxa"/>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683" w:type="dxa"/>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800"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700"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850"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2317" w:type="dxa"/>
            <w:gridSpan w:val="3"/>
            <w:tcBorders>
              <w:tl2br w:val="nil"/>
              <w:tr2bl w:val="nil"/>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767"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650" w:type="dxa"/>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683" w:type="dxa"/>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800"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700"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850" w:type="dxa"/>
            <w:gridSpan w:val="3"/>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2"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5734" w:type="dxa"/>
            <w:gridSpan w:val="6"/>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7033" w:type="dxa"/>
            <w:gridSpan w:val="8"/>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1052"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5734" w:type="dxa"/>
            <w:gridSpan w:val="6"/>
            <w:tcBorders>
              <w:tl2br w:val="nil"/>
              <w:tr2bl w:val="nil"/>
            </w:tcBorders>
            <w:noWrap w:val="0"/>
            <w:vAlign w:val="center"/>
          </w:tcPr>
          <w:p>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长沙分流中心高度各市州驻长办事处、信访工作组及时做好接访劝返带离工作，加强后续处理和督查督办工作，加大问责力度，严格实行责任倒查制度，组织对相关责任单位领导的约谈，并牵头处理协调重点疑难问题及“三跨三分离”案件，保障工作用车的正常运行和维护。</w:t>
            </w:r>
          </w:p>
        </w:tc>
        <w:tc>
          <w:tcPr>
            <w:tcW w:w="7033" w:type="dxa"/>
            <w:gridSpan w:val="8"/>
            <w:tcBorders>
              <w:tl2br w:val="nil"/>
              <w:tr2bl w:val="nil"/>
            </w:tcBorders>
            <w:noWrap w:val="0"/>
            <w:vAlign w:val="center"/>
          </w:tcPr>
          <w:p>
            <w:pPr>
              <w:widowControl/>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2022年，全省信访系统在省委省政府的坚强领导下，坚持以习近平新时代中国特色社会主义思想为指导，全省信访系统扛牢为民解难、为党分忧的政治责任，以做好党的二十大信访安全保障工作为主线，深入实施《信访工作条例》，坚持人民至上，聚焦突出问题，树牢底线思维，推进工作落实，在维护群众合法权益、促进社会和谐稳定等方面取得显著成效。在1月14日的全国信访局长会议上国家信访局对我省省级党政领导带头联系督导信访工作并领办督办突出问题予以充分肯定，通报我省有14个县市区成功创建为全国信访工作示范县市区（获评占比位居全国前列），我省信访工作考核得分排名全国前列，获评优秀等次。中央主要媒体对我省信访工作的宣传报道力度空前，人民日报、新华每日电讯、法治日报、中国青年报、人民政协报等和中央信访联席会议《快报》、《人民信访》、国家信访局“一网一微一端”宣传报道141篇次，3个集体、18名个人在第九次全国信访工作会议上受到表彰，9个集体、18名个人荣获全国信访积案化解专项工作先进集体和先进个人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52"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34"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83"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050" w:type="dxa"/>
            <w:gridSpan w:val="2"/>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4417" w:type="dxa"/>
            <w:gridSpan w:val="4"/>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2266" w:type="dxa"/>
            <w:gridSpan w:val="2"/>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1067"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767" w:type="dxa"/>
            <w:tcBorders>
              <w:tl2br w:val="nil"/>
              <w:tr2bl w:val="nil"/>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083" w:type="dxa"/>
            <w:gridSpan w:val="2"/>
            <w:tcBorders>
              <w:tl2br w:val="nil"/>
              <w:tr2bl w:val="nil"/>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5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34" w:type="dxa"/>
            <w:vMerge w:val="restart"/>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jc w:val="center"/>
              <w:rPr>
                <w:rFonts w:hint="default" w:ascii="Times New Roman" w:hAnsi="Times New Roman" w:eastAsia="仿宋_GB2312" w:cs="Times New Roman"/>
                <w:color w:val="000000"/>
                <w:sz w:val="20"/>
                <w:szCs w:val="20"/>
              </w:rPr>
            </w:pP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0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数量指标</w:t>
            </w:r>
          </w:p>
        </w:tc>
        <w:tc>
          <w:tcPr>
            <w:tcW w:w="441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积极配合驻京工作机构，做好分流中心的各项工作，协调与各市州驻长办事处、信访工作组带离信访人员，减少信访总量。</w:t>
            </w:r>
          </w:p>
        </w:tc>
        <w:tc>
          <w:tcPr>
            <w:tcW w:w="22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w:t>
            </w:r>
          </w:p>
        </w:tc>
        <w:tc>
          <w:tcPr>
            <w:tcW w:w="10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7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08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5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34"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0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质量指标</w:t>
            </w:r>
          </w:p>
        </w:tc>
        <w:tc>
          <w:tcPr>
            <w:tcW w:w="441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　保障2022年局机关信息技术、全省信访信息系统和长沙分流中心正常运转，提高分流中心的工作效率。</w:t>
            </w:r>
          </w:p>
        </w:tc>
        <w:tc>
          <w:tcPr>
            <w:tcW w:w="22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w:t>
            </w:r>
          </w:p>
        </w:tc>
        <w:tc>
          <w:tcPr>
            <w:tcW w:w="10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w:t>
            </w:r>
          </w:p>
        </w:tc>
        <w:tc>
          <w:tcPr>
            <w:tcW w:w="7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w:t>
            </w:r>
          </w:p>
        </w:tc>
        <w:tc>
          <w:tcPr>
            <w:tcW w:w="108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5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34"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0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时效指标</w:t>
            </w:r>
          </w:p>
        </w:tc>
        <w:tc>
          <w:tcPr>
            <w:tcW w:w="441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2022年度工作有效落实，完成各项任务优秀</w:t>
            </w:r>
          </w:p>
        </w:tc>
        <w:tc>
          <w:tcPr>
            <w:tcW w:w="22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w:t>
            </w:r>
          </w:p>
        </w:tc>
        <w:tc>
          <w:tcPr>
            <w:tcW w:w="10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7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08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5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34"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0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成本指标</w:t>
            </w:r>
          </w:p>
        </w:tc>
        <w:tc>
          <w:tcPr>
            <w:tcW w:w="441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2022年运行维护经费年初预算175.1万元，调整预算288万元。</w:t>
            </w:r>
          </w:p>
        </w:tc>
        <w:tc>
          <w:tcPr>
            <w:tcW w:w="22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实际完成预算</w:t>
            </w:r>
          </w:p>
        </w:tc>
        <w:tc>
          <w:tcPr>
            <w:tcW w:w="10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7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Times New Roman"/>
                <w:color w:val="000000"/>
                <w:sz w:val="20"/>
                <w:szCs w:val="20"/>
                <w:lang w:val="en-US" w:eastAsia="zh-CN"/>
              </w:rPr>
              <w:t>10</w:t>
            </w:r>
          </w:p>
        </w:tc>
        <w:tc>
          <w:tcPr>
            <w:tcW w:w="108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34" w:type="dxa"/>
            <w:vMerge w:val="restart"/>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经济效益指标</w:t>
            </w:r>
          </w:p>
        </w:tc>
        <w:tc>
          <w:tcPr>
            <w:tcW w:w="10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经济效益指标</w:t>
            </w:r>
          </w:p>
        </w:tc>
        <w:tc>
          <w:tcPr>
            <w:tcW w:w="441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1.进一步加强信访制度改革，实现法治信访、 阳光信访和责任信访，让群众满意。2.进一步推进领导干部包案工作。3.进一步提升工作效能。4.进一步完善工作考评机制。</w:t>
            </w:r>
          </w:p>
        </w:tc>
        <w:tc>
          <w:tcPr>
            <w:tcW w:w="22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w:t>
            </w:r>
          </w:p>
        </w:tc>
        <w:tc>
          <w:tcPr>
            <w:tcW w:w="10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7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08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5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34"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社会效益指标</w:t>
            </w:r>
          </w:p>
        </w:tc>
        <w:tc>
          <w:tcPr>
            <w:tcW w:w="10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社会效益指标</w:t>
            </w:r>
          </w:p>
        </w:tc>
        <w:tc>
          <w:tcPr>
            <w:tcW w:w="441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有效解决信访问题，维护社会稳定。</w:t>
            </w:r>
          </w:p>
        </w:tc>
        <w:tc>
          <w:tcPr>
            <w:tcW w:w="22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w:t>
            </w:r>
          </w:p>
        </w:tc>
        <w:tc>
          <w:tcPr>
            <w:tcW w:w="10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7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08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05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34"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生态效益指标</w:t>
            </w:r>
          </w:p>
        </w:tc>
        <w:tc>
          <w:tcPr>
            <w:tcW w:w="10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生态效益指标</w:t>
            </w:r>
          </w:p>
        </w:tc>
        <w:tc>
          <w:tcPr>
            <w:tcW w:w="441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1.加强网上信访建设和群众来信，减少到省进京走访总量。2.加强部门协调，提高处理办理群众来信来访和网上信访事项的工作效率，有效解决信访总量。</w:t>
            </w:r>
          </w:p>
        </w:tc>
        <w:tc>
          <w:tcPr>
            <w:tcW w:w="22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w:t>
            </w:r>
          </w:p>
        </w:tc>
        <w:tc>
          <w:tcPr>
            <w:tcW w:w="10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7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108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continue"/>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p>
        </w:tc>
        <w:tc>
          <w:tcPr>
            <w:tcW w:w="1034" w:type="dxa"/>
            <w:vMerge w:val="continue"/>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c>
          <w:tcPr>
            <w:tcW w:w="10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0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可持续影响指标</w:t>
            </w:r>
          </w:p>
        </w:tc>
        <w:tc>
          <w:tcPr>
            <w:tcW w:w="441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确保信访工作的连续性，建立健全解决信访问题的机制。2.加强网上信访建设和群众来信，减少到省进京走访总量。3.加强部门协调，提高办理群众来信来访和网上信访事项的工作效率，有效解决和化解信访问题。</w:t>
            </w:r>
          </w:p>
        </w:tc>
        <w:tc>
          <w:tcPr>
            <w:tcW w:w="22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完成全年工作</w:t>
            </w:r>
          </w:p>
        </w:tc>
        <w:tc>
          <w:tcPr>
            <w:tcW w:w="10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7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108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52" w:type="dxa"/>
            <w:vMerge w:val="continue"/>
            <w:tcBorders>
              <w:tl2br w:val="nil"/>
              <w:tr2bl w:val="nil"/>
            </w:tcBorders>
            <w:noWrap w:val="0"/>
            <w:vAlign w:val="center"/>
          </w:tcPr>
          <w:p>
            <w:pPr>
              <w:jc w:val="left"/>
              <w:rPr>
                <w:rFonts w:hint="default" w:ascii="Times New Roman" w:hAnsi="Times New Roman" w:eastAsia="仿宋_GB2312" w:cs="Times New Roman"/>
                <w:color w:val="000000"/>
                <w:sz w:val="20"/>
                <w:szCs w:val="20"/>
              </w:rPr>
            </w:pPr>
          </w:p>
        </w:tc>
        <w:tc>
          <w:tcPr>
            <w:tcW w:w="1034"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3"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050"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服务对象满意度指标</w:t>
            </w:r>
          </w:p>
        </w:tc>
        <w:tc>
          <w:tcPr>
            <w:tcW w:w="441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1.建立健全信访信息系统的群众满意度评价体系。2.完善工作机制，群众满意度评价达到90%以上。3.积极协调解决信访问题，采取领导带案下访，各级领导带头接访，职能部门积极化解，提高群众满意度。</w:t>
            </w:r>
          </w:p>
        </w:tc>
        <w:tc>
          <w:tcPr>
            <w:tcW w:w="22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群众满意度评价达90%以上。</w:t>
            </w:r>
          </w:p>
        </w:tc>
        <w:tc>
          <w:tcPr>
            <w:tcW w:w="10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7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1083" w:type="dxa"/>
            <w:gridSpan w:val="2"/>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636" w:type="dxa"/>
            <w:gridSpan w:val="9"/>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2266"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1067" w:type="dxa"/>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100</w:t>
            </w:r>
          </w:p>
        </w:tc>
        <w:tc>
          <w:tcPr>
            <w:tcW w:w="772" w:type="dxa"/>
            <w:gridSpan w:val="2"/>
            <w:tcBorders>
              <w:tl2br w:val="nil"/>
              <w:tr2bl w:val="nil"/>
            </w:tcBorders>
            <w:noWrap w:val="0"/>
            <w:vAlign w:val="center"/>
          </w:tcPr>
          <w:p>
            <w:pPr>
              <w:widowControl/>
              <w:jc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Times New Roman"/>
                <w:color w:val="000000"/>
                <w:sz w:val="20"/>
                <w:szCs w:val="20"/>
                <w:lang w:val="en-US" w:eastAsia="zh-CN"/>
              </w:rPr>
              <w:t>99</w:t>
            </w:r>
          </w:p>
        </w:tc>
        <w:tc>
          <w:tcPr>
            <w:tcW w:w="1078" w:type="dxa"/>
            <w:tcBorders>
              <w:tl2br w:val="nil"/>
              <w:tr2bl w:val="nil"/>
            </w:tcBorders>
            <w:noWrap w:val="0"/>
            <w:vAlign w:val="center"/>
          </w:tcPr>
          <w:p>
            <w:pPr>
              <w:widowControl/>
              <w:jc w:val="left"/>
              <w:rPr>
                <w:rFonts w:hint="default" w:ascii="Times New Roman" w:hAnsi="Times New Roman" w:eastAsia="仿宋_GB2312" w:cs="Times New Roman"/>
                <w:color w:val="000000"/>
                <w:sz w:val="20"/>
                <w:szCs w:val="20"/>
              </w:rPr>
            </w:pPr>
          </w:p>
        </w:tc>
      </w:tr>
    </w:tbl>
    <w:p>
      <w:pPr>
        <w:rPr>
          <w:rFonts w:hint="default" w:ascii="Times New Roman" w:hAnsi="Times New Roman" w:eastAsia="仿宋_GB2312" w:cs="Times New Roman"/>
          <w:sz w:val="22"/>
          <w:szCs w:val="22"/>
        </w:rPr>
      </w:pPr>
    </w:p>
    <w:p>
      <w:pPr>
        <w:rPr>
          <w:rFonts w:hint="eastAsia" w:ascii="Times New Roman" w:hAnsi="Times New Roman" w:eastAsia="仿宋_GB2312" w:cs="Times New Roman"/>
          <w:sz w:val="22"/>
          <w:szCs w:val="22"/>
          <w:lang w:eastAsia="zh-CN"/>
        </w:rPr>
      </w:pP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备注：一个一级项目支出一张表。</w:t>
      </w:r>
      <w:r>
        <w:rPr>
          <w:rFonts w:hint="eastAsia" w:ascii="Times New Roman" w:hAnsi="Times New Roman" w:eastAsia="仿宋_GB2312" w:cs="Times New Roman"/>
          <w:sz w:val="22"/>
          <w:szCs w:val="22"/>
          <w:lang w:eastAsia="zh-CN"/>
        </w:rPr>
        <w:t>如，</w:t>
      </w:r>
      <w:r>
        <w:rPr>
          <w:rFonts w:hint="default" w:ascii="Times New Roman" w:hAnsi="Times New Roman" w:eastAsia="仿宋_GB2312" w:cs="Times New Roman"/>
          <w:sz w:val="22"/>
          <w:szCs w:val="22"/>
        </w:rPr>
        <w:t>业务工作经费</w:t>
      </w:r>
      <w:r>
        <w:rPr>
          <w:rFonts w:hint="eastAsia" w:ascii="Times New Roman" w:hAnsi="Times New Roman" w:eastAsia="仿宋_GB2312" w:cs="Times New Roman"/>
          <w:sz w:val="22"/>
          <w:szCs w:val="22"/>
          <w:lang w:eastAsia="zh-CN"/>
        </w:rPr>
        <w:t>，</w:t>
      </w:r>
      <w:r>
        <w:rPr>
          <w:rFonts w:hint="default" w:ascii="Times New Roman" w:hAnsi="Times New Roman" w:eastAsia="仿宋_GB2312" w:cs="Times New Roman"/>
          <w:sz w:val="22"/>
          <w:szCs w:val="22"/>
        </w:rPr>
        <w:t>运行维护经费</w:t>
      </w:r>
      <w:r>
        <w:rPr>
          <w:rFonts w:hint="eastAsia" w:ascii="Times New Roman" w:hAnsi="Times New Roman" w:eastAsia="仿宋_GB2312" w:cs="Times New Roman"/>
          <w:sz w:val="22"/>
          <w:szCs w:val="22"/>
          <w:lang w:eastAsia="zh-CN"/>
        </w:rPr>
        <w:t>，其他事业发展类资金…各一张表。</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ascii="Times New Roman" w:hAnsi="Times New Roman" w:eastAsia="仿宋_GB2312" w:cs="Times New Roman"/>
          <w:sz w:val="22"/>
          <w:szCs w:val="22"/>
        </w:rPr>
      </w:pPr>
    </w:p>
    <w:p>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范建平</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填报日期：</w:t>
      </w:r>
      <w:r>
        <w:rPr>
          <w:rFonts w:hint="eastAsia" w:ascii="Times New Roman" w:hAnsi="Times New Roman" w:eastAsia="仿宋_GB2312" w:cs="Times New Roman"/>
          <w:sz w:val="22"/>
          <w:lang w:val="en-US" w:eastAsia="zh-CN"/>
        </w:rPr>
        <w:t>2023年5月22</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81125819</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单位负责人签字：</w:t>
      </w:r>
    </w:p>
    <w:p/>
    <w:sectPr>
      <w:pgSz w:w="16837" w:h="11905" w:orient="landscape"/>
      <w:pgMar w:top="1588" w:right="1418" w:bottom="1134" w:left="1418" w:header="720" w:footer="850" w:gutter="0"/>
      <w:pgBorders>
        <w:top w:val="none" w:sz="0" w:space="0"/>
        <w:left w:val="none" w:sz="0" w:space="0"/>
        <w:bottom w:val="none" w:sz="0" w:space="0"/>
        <w:right w:val="none" w:sz="0" w:space="0"/>
      </w:pgBorders>
      <w:pgNumType w:fmt="numberInDash"/>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NjY4MzY3YzJiNjI0NzkxYzgxNjBiZGI3OGNjZDYifQ=="/>
  </w:docVars>
  <w:rsids>
    <w:rsidRoot w:val="583350BC"/>
    <w:rsid w:val="58335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2023-06-26T03:44:00Z</dcterms:created>
  <dc:creator>胡楠</dc:creator>
  <cp:lastModifiedBy>胡楠</cp:lastModifiedBy>
  <dcterms:modified xsi:type="dcterms:W3CDTF">2023-06-26T03:45:42Z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4E0F9D83571E4212933A9136976F5ABE_11</vt:lpwstr>
  </property>
</Properties>
</file>