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0" w:afterLines="0" w:line="400" w:lineRule="exact"/>
        <w:jc w:val="left"/>
        <w:rPr>
          <w:rFonts w:hint="eastAsia" w:ascii="Times New Roman" w:hAnsi="Times New Roman" w:eastAsia="黑体" w:cs="Times New Roman"/>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spacing w:after="120" w:afterLines="50"/>
        <w:jc w:val="center"/>
        <w:rPr>
          <w:rFonts w:hint="default" w:ascii="Times New Roman" w:hAnsi="Times New Roman" w:eastAsia="方正小标宋_GBK" w:cs="Times New Roman"/>
          <w:color w:val="000000"/>
          <w:sz w:val="36"/>
          <w:szCs w:val="36"/>
        </w:rPr>
      </w:pP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2</w:t>
      </w:r>
      <w:r>
        <w:rPr>
          <w:rFonts w:hint="eastAsia" w:ascii="方正小标宋简体" w:hAnsi="方正小标宋简体" w:eastAsia="方正小标宋简体" w:cs="方正小标宋简体"/>
          <w:color w:val="000000"/>
          <w:sz w:val="44"/>
          <w:szCs w:val="44"/>
        </w:rPr>
        <w:t>年度</w:t>
      </w:r>
      <w:bookmarkStart w:id="0" w:name="_GoBack"/>
      <w:r>
        <w:rPr>
          <w:rFonts w:hint="eastAsia" w:ascii="方正小标宋简体" w:hAnsi="方正小标宋简体" w:eastAsia="方正小标宋简体" w:cs="方正小标宋简体"/>
          <w:color w:val="000000"/>
          <w:sz w:val="44"/>
          <w:szCs w:val="44"/>
        </w:rPr>
        <w:t>部门整体支出绩效自评表</w:t>
      </w:r>
      <w:bookmarkEnd w:id="0"/>
    </w:p>
    <w:tbl>
      <w:tblPr>
        <w:tblStyle w:val="3"/>
        <w:tblW w:w="13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1033"/>
        <w:gridCol w:w="1050"/>
        <w:gridCol w:w="927"/>
        <w:gridCol w:w="90"/>
        <w:gridCol w:w="1948"/>
        <w:gridCol w:w="1812"/>
        <w:gridCol w:w="357"/>
        <w:gridCol w:w="1743"/>
        <w:gridCol w:w="590"/>
        <w:gridCol w:w="750"/>
        <w:gridCol w:w="150"/>
        <w:gridCol w:w="985"/>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39" w:type="dxa"/>
            <w:tcBorders>
              <w:tl2br w:val="nil"/>
              <w:tr2bl w:val="nil"/>
            </w:tcBorders>
            <w:noWrap w:val="0"/>
            <w:vAlign w:val="center"/>
          </w:tcPr>
          <w:p>
            <w:pPr>
              <w:widowControl/>
              <w:spacing w:line="240" w:lineRule="exact"/>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省级预算部门名称</w:t>
            </w:r>
          </w:p>
        </w:tc>
        <w:tc>
          <w:tcPr>
            <w:tcW w:w="12700" w:type="dxa"/>
            <w:gridSpan w:val="13"/>
            <w:tcBorders>
              <w:tl2br w:val="nil"/>
              <w:tr2bl w:val="nil"/>
            </w:tcBorders>
            <w:noWrap w:val="0"/>
            <w:vAlign w:val="center"/>
          </w:tcPr>
          <w:p>
            <w:pPr>
              <w:widowControl/>
              <w:spacing w:line="240" w:lineRule="exact"/>
              <w:ind w:left="0" w:leftChars="0" w:right="0" w:rightChars="0" w:firstLine="0" w:firstLineChars="0"/>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eastAsia="zh-CN"/>
              </w:rPr>
              <w:t>湖南省信访局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139" w:type="dxa"/>
            <w:vMerge w:val="restart"/>
            <w:tcBorders>
              <w:tl2br w:val="nil"/>
              <w:tr2bl w:val="nil"/>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年度预</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算申请</w:t>
            </w:r>
            <w:r>
              <w:rPr>
                <w:rFonts w:hint="default" w:ascii="Times New Roman" w:hAnsi="Times New Roman" w:eastAsia="仿宋_GB2312" w:cs="Times New Roman"/>
                <w:color w:val="000000"/>
                <w:sz w:val="20"/>
                <w:szCs w:val="20"/>
              </w:rPr>
              <w:br w:type="textWrapping"/>
            </w:r>
            <w:r>
              <w:rPr>
                <w:rFonts w:hint="default" w:ascii="Times New Roman" w:hAnsi="Times New Roman" w:eastAsia="仿宋_GB2312" w:cs="Times New Roman"/>
                <w:color w:val="000000"/>
                <w:sz w:val="20"/>
                <w:szCs w:val="20"/>
              </w:rPr>
              <w:t>（万元）</w:t>
            </w:r>
          </w:p>
        </w:tc>
        <w:tc>
          <w:tcPr>
            <w:tcW w:w="3010" w:type="dxa"/>
            <w:gridSpan w:val="3"/>
            <w:tcBorders>
              <w:tl2br w:val="nil"/>
              <w:tr2bl w:val="nil"/>
            </w:tcBorders>
            <w:noWrap w:val="0"/>
            <w:vAlign w:val="center"/>
          </w:tcPr>
          <w:p>
            <w:pPr>
              <w:spacing w:line="240" w:lineRule="exact"/>
              <w:jc w:val="center"/>
              <w:rPr>
                <w:rFonts w:hint="default" w:ascii="Times New Roman" w:hAnsi="Times New Roman" w:eastAsia="仿宋_GB2312" w:cs="Times New Roman"/>
                <w:sz w:val="20"/>
                <w:szCs w:val="20"/>
              </w:rPr>
            </w:pPr>
          </w:p>
        </w:tc>
        <w:tc>
          <w:tcPr>
            <w:tcW w:w="2038" w:type="dxa"/>
            <w:gridSpan w:val="2"/>
            <w:tcBorders>
              <w:tl2br w:val="nil"/>
              <w:tr2bl w:val="nil"/>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年初预算数</w:t>
            </w:r>
          </w:p>
        </w:tc>
        <w:tc>
          <w:tcPr>
            <w:tcW w:w="1812" w:type="dxa"/>
            <w:tcBorders>
              <w:tl2br w:val="nil"/>
              <w:tr2bl w:val="nil"/>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全年预算数</w:t>
            </w:r>
          </w:p>
        </w:tc>
        <w:tc>
          <w:tcPr>
            <w:tcW w:w="2100" w:type="dxa"/>
            <w:gridSpan w:val="2"/>
            <w:tcBorders>
              <w:tl2br w:val="nil"/>
              <w:tr2bl w:val="nil"/>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全年执行数</w:t>
            </w:r>
          </w:p>
        </w:tc>
        <w:tc>
          <w:tcPr>
            <w:tcW w:w="1340" w:type="dxa"/>
            <w:gridSpan w:val="2"/>
            <w:tcBorders>
              <w:tl2br w:val="nil"/>
              <w:tr2bl w:val="nil"/>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分值</w:t>
            </w:r>
          </w:p>
        </w:tc>
        <w:tc>
          <w:tcPr>
            <w:tcW w:w="1135" w:type="dxa"/>
            <w:gridSpan w:val="2"/>
            <w:tcBorders>
              <w:tl2br w:val="nil"/>
              <w:tr2bl w:val="nil"/>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执行率</w:t>
            </w:r>
          </w:p>
        </w:tc>
        <w:tc>
          <w:tcPr>
            <w:tcW w:w="1265" w:type="dxa"/>
            <w:tcBorders>
              <w:tl2br w:val="nil"/>
              <w:tr2bl w:val="nil"/>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39" w:type="dxa"/>
            <w:vMerge w:val="continue"/>
            <w:tcBorders>
              <w:tl2br w:val="nil"/>
              <w:tr2bl w:val="nil"/>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3010" w:type="dxa"/>
            <w:gridSpan w:val="3"/>
            <w:tcBorders>
              <w:tl2br w:val="nil"/>
              <w:tr2bl w:val="nil"/>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sz w:val="20"/>
                <w:szCs w:val="20"/>
              </w:rPr>
              <w:t>年度资金总额</w:t>
            </w:r>
          </w:p>
        </w:tc>
        <w:tc>
          <w:tcPr>
            <w:tcW w:w="2038" w:type="dxa"/>
            <w:gridSpan w:val="2"/>
            <w:tcBorders>
              <w:tl2br w:val="nil"/>
              <w:tr2bl w:val="nil"/>
            </w:tcBorders>
            <w:noWrap w:val="0"/>
            <w:vAlign w:val="center"/>
          </w:tcPr>
          <w:p>
            <w:pPr>
              <w:spacing w:line="24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4365.26</w:t>
            </w:r>
          </w:p>
        </w:tc>
        <w:tc>
          <w:tcPr>
            <w:tcW w:w="1812" w:type="dxa"/>
            <w:tcBorders>
              <w:tl2br w:val="nil"/>
              <w:tr2bl w:val="nil"/>
            </w:tcBorders>
            <w:noWrap w:val="0"/>
            <w:vAlign w:val="center"/>
          </w:tcPr>
          <w:p>
            <w:pPr>
              <w:spacing w:line="24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5512.9</w:t>
            </w:r>
          </w:p>
        </w:tc>
        <w:tc>
          <w:tcPr>
            <w:tcW w:w="2100" w:type="dxa"/>
            <w:gridSpan w:val="2"/>
            <w:tcBorders>
              <w:tl2br w:val="nil"/>
              <w:tr2bl w:val="nil"/>
            </w:tcBorders>
            <w:noWrap w:val="0"/>
            <w:vAlign w:val="center"/>
          </w:tcPr>
          <w:p>
            <w:pPr>
              <w:spacing w:line="24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4874.72</w:t>
            </w:r>
          </w:p>
        </w:tc>
        <w:tc>
          <w:tcPr>
            <w:tcW w:w="1340" w:type="dxa"/>
            <w:gridSpan w:val="2"/>
            <w:tcBorders>
              <w:tl2br w:val="nil"/>
              <w:tr2bl w:val="nil"/>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w:t>
            </w:r>
          </w:p>
        </w:tc>
        <w:tc>
          <w:tcPr>
            <w:tcW w:w="1135" w:type="dxa"/>
            <w:gridSpan w:val="2"/>
            <w:tcBorders>
              <w:tl2br w:val="nil"/>
              <w:tr2bl w:val="nil"/>
            </w:tcBorders>
            <w:noWrap w:val="0"/>
            <w:vAlign w:val="center"/>
          </w:tcPr>
          <w:p>
            <w:pPr>
              <w:spacing w:line="24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88%</w:t>
            </w:r>
          </w:p>
        </w:tc>
        <w:tc>
          <w:tcPr>
            <w:tcW w:w="1265" w:type="dxa"/>
            <w:tcBorders>
              <w:tl2br w:val="nil"/>
              <w:tr2bl w:val="nil"/>
            </w:tcBorders>
            <w:noWrap w:val="0"/>
            <w:vAlign w:val="center"/>
          </w:tcPr>
          <w:p>
            <w:pPr>
              <w:spacing w:line="24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139" w:type="dxa"/>
            <w:vMerge w:val="continue"/>
            <w:tcBorders>
              <w:tl2br w:val="nil"/>
              <w:tr2bl w:val="nil"/>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6860" w:type="dxa"/>
            <w:gridSpan w:val="6"/>
            <w:tcBorders>
              <w:tl2br w:val="nil"/>
              <w:tr2bl w:val="nil"/>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按收入性质分：</w:t>
            </w:r>
          </w:p>
        </w:tc>
        <w:tc>
          <w:tcPr>
            <w:tcW w:w="5840" w:type="dxa"/>
            <w:gridSpan w:val="7"/>
            <w:tcBorders>
              <w:tl2br w:val="nil"/>
              <w:tr2bl w:val="nil"/>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39" w:type="dxa"/>
            <w:vMerge w:val="continue"/>
            <w:tcBorders>
              <w:tl2br w:val="nil"/>
              <w:tr2bl w:val="nil"/>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6860" w:type="dxa"/>
            <w:gridSpan w:val="6"/>
            <w:tcBorders>
              <w:tl2br w:val="nil"/>
              <w:tr2bl w:val="nil"/>
            </w:tcBorders>
            <w:noWrap w:val="0"/>
            <w:vAlign w:val="center"/>
          </w:tcPr>
          <w:p>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xml:space="preserve">  其中：  一般公共预算：</w:t>
            </w:r>
            <w:r>
              <w:rPr>
                <w:rFonts w:hint="eastAsia" w:ascii="Times New Roman" w:hAnsi="Times New Roman" w:eastAsia="仿宋_GB2312" w:cs="Times New Roman"/>
                <w:color w:val="000000"/>
                <w:sz w:val="20"/>
                <w:szCs w:val="20"/>
                <w:lang w:val="en-US" w:eastAsia="zh-CN"/>
              </w:rPr>
              <w:t>5512.9</w:t>
            </w:r>
          </w:p>
        </w:tc>
        <w:tc>
          <w:tcPr>
            <w:tcW w:w="5840" w:type="dxa"/>
            <w:gridSpan w:val="7"/>
            <w:tcBorders>
              <w:tl2br w:val="nil"/>
              <w:tr2bl w:val="nil"/>
            </w:tcBorders>
            <w:noWrap w:val="0"/>
            <w:vAlign w:val="center"/>
          </w:tcPr>
          <w:p>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其中：基本支出：</w:t>
            </w:r>
            <w:r>
              <w:rPr>
                <w:rFonts w:hint="eastAsia" w:ascii="Times New Roman" w:hAnsi="Times New Roman" w:eastAsia="仿宋_GB2312" w:cs="Times New Roman"/>
                <w:color w:val="000000"/>
                <w:sz w:val="20"/>
                <w:szCs w:val="20"/>
                <w:lang w:val="en-US" w:eastAsia="zh-CN"/>
              </w:rPr>
              <w:t>3273.22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139" w:type="dxa"/>
            <w:vMerge w:val="continue"/>
            <w:tcBorders>
              <w:tl2br w:val="nil"/>
              <w:tr2bl w:val="nil"/>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6860" w:type="dxa"/>
            <w:gridSpan w:val="6"/>
            <w:tcBorders>
              <w:tl2br w:val="nil"/>
              <w:tr2bl w:val="nil"/>
            </w:tcBorders>
            <w:noWrap w:val="0"/>
            <w:vAlign w:val="center"/>
          </w:tcPr>
          <w:p>
            <w:pPr>
              <w:widowControl/>
              <w:spacing w:line="240" w:lineRule="exact"/>
              <w:ind w:firstLine="800" w:firstLineChars="400"/>
              <w:jc w:val="left"/>
              <w:rPr>
                <w:rFonts w:hint="eastAsia"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政府性基金拨款：</w:t>
            </w:r>
            <w:r>
              <w:rPr>
                <w:rFonts w:hint="eastAsia" w:ascii="Times New Roman" w:hAnsi="Times New Roman" w:eastAsia="仿宋_GB2312" w:cs="Times New Roman"/>
                <w:color w:val="000000"/>
                <w:sz w:val="20"/>
                <w:szCs w:val="20"/>
                <w:lang w:val="en-US" w:eastAsia="zh-CN"/>
              </w:rPr>
              <w:t>0</w:t>
            </w:r>
          </w:p>
        </w:tc>
        <w:tc>
          <w:tcPr>
            <w:tcW w:w="5840" w:type="dxa"/>
            <w:gridSpan w:val="7"/>
            <w:tcBorders>
              <w:tl2br w:val="nil"/>
              <w:tr2bl w:val="nil"/>
            </w:tcBorders>
            <w:noWrap w:val="0"/>
            <w:vAlign w:val="center"/>
          </w:tcPr>
          <w:p>
            <w:pPr>
              <w:widowControl/>
              <w:spacing w:line="240" w:lineRule="exact"/>
              <w:ind w:firstLine="600" w:firstLineChars="300"/>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项目支出：</w:t>
            </w:r>
            <w:r>
              <w:rPr>
                <w:rFonts w:hint="eastAsia" w:ascii="Times New Roman" w:hAnsi="Times New Roman" w:eastAsia="仿宋_GB2312" w:cs="Times New Roman"/>
                <w:color w:val="000000"/>
                <w:sz w:val="20"/>
                <w:szCs w:val="20"/>
                <w:lang w:val="en-US" w:eastAsia="zh-CN"/>
              </w:rPr>
              <w:t>2239.68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39" w:type="dxa"/>
            <w:vMerge w:val="continue"/>
            <w:tcBorders>
              <w:tl2br w:val="nil"/>
              <w:tr2bl w:val="nil"/>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6860" w:type="dxa"/>
            <w:gridSpan w:val="6"/>
            <w:tcBorders>
              <w:tl2br w:val="nil"/>
              <w:tr2bl w:val="nil"/>
            </w:tcBorders>
            <w:noWrap w:val="0"/>
            <w:vAlign w:val="center"/>
          </w:tcPr>
          <w:p>
            <w:pPr>
              <w:widowControl/>
              <w:spacing w:line="240" w:lineRule="exact"/>
              <w:jc w:val="left"/>
              <w:rPr>
                <w:rFonts w:hint="eastAsia"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纳入专户管理的非税收入拨款：</w:t>
            </w:r>
            <w:r>
              <w:rPr>
                <w:rFonts w:hint="eastAsia" w:ascii="Times New Roman" w:hAnsi="Times New Roman" w:eastAsia="仿宋_GB2312" w:cs="Times New Roman"/>
                <w:color w:val="000000"/>
                <w:sz w:val="20"/>
                <w:szCs w:val="20"/>
                <w:lang w:val="en-US" w:eastAsia="zh-CN"/>
              </w:rPr>
              <w:t>0</w:t>
            </w:r>
          </w:p>
        </w:tc>
        <w:tc>
          <w:tcPr>
            <w:tcW w:w="5840" w:type="dxa"/>
            <w:gridSpan w:val="7"/>
            <w:tcBorders>
              <w:tl2br w:val="nil"/>
              <w:tr2bl w:val="nil"/>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9" w:type="dxa"/>
            <w:vMerge w:val="continue"/>
            <w:tcBorders>
              <w:tl2br w:val="nil"/>
              <w:tr2bl w:val="nil"/>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6860" w:type="dxa"/>
            <w:gridSpan w:val="6"/>
            <w:tcBorders>
              <w:tl2br w:val="nil"/>
              <w:tr2bl w:val="nil"/>
            </w:tcBorders>
            <w:noWrap w:val="0"/>
            <w:vAlign w:val="center"/>
          </w:tcPr>
          <w:p>
            <w:pPr>
              <w:widowControl/>
              <w:spacing w:line="240" w:lineRule="exact"/>
              <w:ind w:firstLine="1400" w:firstLineChars="700"/>
              <w:jc w:val="left"/>
              <w:rPr>
                <w:rFonts w:hint="eastAsia"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其他资金：</w:t>
            </w:r>
            <w:r>
              <w:rPr>
                <w:rFonts w:hint="eastAsia" w:ascii="Times New Roman" w:hAnsi="Times New Roman" w:eastAsia="仿宋_GB2312" w:cs="Times New Roman"/>
                <w:color w:val="000000"/>
                <w:sz w:val="20"/>
                <w:szCs w:val="20"/>
                <w:lang w:val="en-US" w:eastAsia="zh-CN"/>
              </w:rPr>
              <w:t>0</w:t>
            </w:r>
          </w:p>
        </w:tc>
        <w:tc>
          <w:tcPr>
            <w:tcW w:w="5840" w:type="dxa"/>
            <w:gridSpan w:val="7"/>
            <w:tcBorders>
              <w:tl2br w:val="nil"/>
              <w:tr2bl w:val="nil"/>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139" w:type="dxa"/>
            <w:vMerge w:val="restart"/>
            <w:tcBorders>
              <w:tl2br w:val="nil"/>
              <w:tr2bl w:val="nil"/>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6860" w:type="dxa"/>
            <w:gridSpan w:val="6"/>
            <w:tcBorders>
              <w:tl2br w:val="nil"/>
              <w:tr2bl w:val="nil"/>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预期目标</w:t>
            </w:r>
          </w:p>
        </w:tc>
        <w:tc>
          <w:tcPr>
            <w:tcW w:w="5840" w:type="dxa"/>
            <w:gridSpan w:val="7"/>
            <w:tcBorders>
              <w:tl2br w:val="nil"/>
              <w:tr2bl w:val="nil"/>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4" w:hRule="atLeast"/>
          <w:jc w:val="center"/>
        </w:trPr>
        <w:tc>
          <w:tcPr>
            <w:tcW w:w="1139" w:type="dxa"/>
            <w:vMerge w:val="continue"/>
            <w:tcBorders>
              <w:tl2br w:val="nil"/>
              <w:tr2bl w:val="nil"/>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6860"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00" w:firstLineChars="200"/>
              <w:jc w:val="both"/>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lang w:val="en"/>
              </w:rPr>
              <w:t>2</w:t>
            </w:r>
            <w:r>
              <w:rPr>
                <w:rFonts w:hint="default" w:ascii="Times New Roman" w:hAnsi="Times New Roman" w:eastAsia="仿宋_GB2312" w:cs="Times New Roman"/>
                <w:color w:val="000000"/>
                <w:sz w:val="20"/>
                <w:szCs w:val="20"/>
              </w:rPr>
              <w:t>022年省信访局整体绩效目标：坚持习近平总书记“以人民为中心”的思想为指导，严格落实关于信访工作的批示指示精神。一是加快智慧信访信息化建设。抓好来信来访和网上信访的受理办理，即时实施网上交办督办，继续开展各级领导干部下访接访，以及政府各职能部门联合接访，及时就地化解矛盾；二是继续开展积案化解工作。积极开展国家信访局信访积案专项工作，用好中央专项补助资金，加强对信访问题解决。三是加大督查督办力度。对反复重访的信访问题要加大督办督查力度，到信访群众家了解实际情况，组织相关责任单位召开联合接谈会议，现地督办，化解问题。四是继续加大追责问责力度。对因责任单位和责任人工作不力，发生信访问题，且解决不力的，要严格追究责任单位和相关责任人的责任。加大信访工作责任制落实力度，以责任落实推动工作落实，切实推动群众诉求的解决，更好地维护人民群众的合法权益，为中心工作创造和谐稳定的社会效益。</w:t>
            </w:r>
          </w:p>
        </w:tc>
        <w:tc>
          <w:tcPr>
            <w:tcW w:w="5840"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00" w:firstLineChars="200"/>
              <w:jc w:val="both"/>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lang w:val="en"/>
              </w:rPr>
              <w:t>2</w:t>
            </w:r>
            <w:r>
              <w:rPr>
                <w:rFonts w:hint="default" w:ascii="Times New Roman" w:hAnsi="Times New Roman" w:eastAsia="仿宋_GB2312" w:cs="Times New Roman"/>
                <w:color w:val="000000"/>
                <w:sz w:val="20"/>
                <w:szCs w:val="20"/>
              </w:rPr>
              <w:t>022年，全省信访系统在省委省政府的坚强领导下，坚持以习近平新时代中国特色社会主义思想为指导，全省信访系统扛牢为民解难、为党分忧的政治责任，以做好党的二十大信访安全保障工作为主线，深入实施《信访工作条例》，坚持人民至上，聚焦突出问题，树牢底线思维，推进工作落实，在维护群众合法权益、促进社会和谐稳定等方面取得显著成效。在1月14日的全国信访局长会议上国家信访局对我省省级党政领导带头联系督导信访工作并领办督办突出问题予以充分肯定，通报我省有14个县市区成功创建为全国信访工作示范县市区（获评占比位居全国前列），我省信访工作考核得分排名全国前列，获评优秀等次。中央主要媒体对我省信访工作的宣传报道力度空前，人民日报、新华每日电讯、法治日报、中国青年报、人民政协报等和中央信访联席会议《快报》、《人民信访》、国家信访局“一网一微一端”宣传报道141篇次，3个集体、18名个人在第九次全国信访工作会议上受到表彰，9个集体、18名个人荣获全国信访积案化解专项工作先进集体和先进个人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39" w:type="dxa"/>
            <w:vMerge w:val="restart"/>
            <w:tcBorders>
              <w:tl2br w:val="nil"/>
              <w:tr2bl w:val="nil"/>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p>
            <w:pPr>
              <w:widowControl/>
              <w:spacing w:line="240" w:lineRule="exact"/>
              <w:jc w:val="center"/>
              <w:rPr>
                <w:rFonts w:hint="default" w:ascii="Times New Roman" w:hAnsi="Times New Roman" w:eastAsia="仿宋_GB2312" w:cs="Times New Roman"/>
                <w:color w:val="000000"/>
                <w:sz w:val="20"/>
                <w:szCs w:val="20"/>
              </w:rPr>
            </w:pPr>
          </w:p>
        </w:tc>
        <w:tc>
          <w:tcPr>
            <w:tcW w:w="103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一级指标</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二级指标</w:t>
            </w:r>
          </w:p>
        </w:tc>
        <w:tc>
          <w:tcPr>
            <w:tcW w:w="101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三级指标</w:t>
            </w:r>
          </w:p>
        </w:tc>
        <w:tc>
          <w:tcPr>
            <w:tcW w:w="4117"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年度指标值</w:t>
            </w:r>
          </w:p>
        </w:tc>
        <w:tc>
          <w:tcPr>
            <w:tcW w:w="2333"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实际完成值</w:t>
            </w:r>
          </w:p>
        </w:tc>
        <w:tc>
          <w:tcPr>
            <w:tcW w:w="9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分值</w:t>
            </w:r>
          </w:p>
        </w:tc>
        <w:tc>
          <w:tcPr>
            <w:tcW w:w="9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得分</w:t>
            </w:r>
          </w:p>
        </w:tc>
        <w:tc>
          <w:tcPr>
            <w:tcW w:w="12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偏差原因分析及改进</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39" w:type="dxa"/>
            <w:vMerge w:val="continue"/>
            <w:tcBorders>
              <w:tl2br w:val="nil"/>
              <w:tr2bl w:val="nil"/>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3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(50分)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数量指标</w:t>
            </w:r>
          </w:p>
        </w:tc>
        <w:tc>
          <w:tcPr>
            <w:tcW w:w="101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数量指标</w:t>
            </w:r>
          </w:p>
        </w:tc>
        <w:tc>
          <w:tcPr>
            <w:tcW w:w="4117"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　2022年度整体支出工作经费5512.9万元。</w:t>
            </w:r>
          </w:p>
        </w:tc>
        <w:tc>
          <w:tcPr>
            <w:tcW w:w="2333"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实际完成值4874.72万元。</w:t>
            </w:r>
          </w:p>
        </w:tc>
        <w:tc>
          <w:tcPr>
            <w:tcW w:w="9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9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12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39" w:type="dxa"/>
            <w:vMerge w:val="continue"/>
            <w:tcBorders>
              <w:tl2br w:val="nil"/>
              <w:tr2bl w:val="nil"/>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3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101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4117"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强力推进“治理重复信访、化解信访积案”专项工作。全年化解重复信访、化解信访积案率达到85%以上。</w:t>
            </w:r>
          </w:p>
        </w:tc>
        <w:tc>
          <w:tcPr>
            <w:tcW w:w="2333"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完成达到9</w:t>
            </w:r>
            <w:r>
              <w:rPr>
                <w:rFonts w:hint="eastAsia" w:ascii="Times New Roman" w:hAnsi="Times New Roman" w:eastAsia="仿宋_GB2312" w:cs="Times New Roman"/>
                <w:color w:val="000000"/>
                <w:sz w:val="20"/>
                <w:szCs w:val="20"/>
                <w:lang w:val="en-US" w:eastAsia="zh-CN"/>
              </w:rPr>
              <w:t>5</w:t>
            </w:r>
            <w:r>
              <w:rPr>
                <w:rFonts w:hint="default" w:ascii="Times New Roman" w:hAnsi="Times New Roman" w:eastAsia="仿宋_GB2312" w:cs="Times New Roman"/>
                <w:color w:val="000000"/>
                <w:sz w:val="20"/>
                <w:szCs w:val="20"/>
              </w:rPr>
              <w:t>%以上</w:t>
            </w:r>
          </w:p>
        </w:tc>
        <w:tc>
          <w:tcPr>
            <w:tcW w:w="9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9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10</w:t>
            </w:r>
          </w:p>
        </w:tc>
        <w:tc>
          <w:tcPr>
            <w:tcW w:w="12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39" w:type="dxa"/>
            <w:vMerge w:val="continue"/>
            <w:tcBorders>
              <w:tl2br w:val="nil"/>
              <w:tr2bl w:val="nil"/>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3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时效指标</w:t>
            </w:r>
          </w:p>
        </w:tc>
        <w:tc>
          <w:tcPr>
            <w:tcW w:w="101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时效指标</w:t>
            </w:r>
          </w:p>
        </w:tc>
        <w:tc>
          <w:tcPr>
            <w:tcW w:w="4117"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2022年度信访工作完成出色，工作完成率达到90%以上。</w:t>
            </w:r>
          </w:p>
        </w:tc>
        <w:tc>
          <w:tcPr>
            <w:tcW w:w="2333"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完成全年任务，取得全国信访工作考核第一名的好成绩</w:t>
            </w:r>
          </w:p>
        </w:tc>
        <w:tc>
          <w:tcPr>
            <w:tcW w:w="9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lang w:val="en-US"/>
              </w:rPr>
            </w:pPr>
            <w:r>
              <w:rPr>
                <w:rFonts w:hint="eastAsia" w:ascii="Times New Roman" w:hAnsi="Times New Roman" w:eastAsia="仿宋_GB2312" w:cs="Times New Roman"/>
                <w:color w:val="000000"/>
                <w:sz w:val="20"/>
                <w:szCs w:val="20"/>
                <w:lang w:val="en-US" w:eastAsia="zh-CN"/>
              </w:rPr>
              <w:t>20</w:t>
            </w:r>
          </w:p>
        </w:tc>
        <w:tc>
          <w:tcPr>
            <w:tcW w:w="9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20</w:t>
            </w:r>
          </w:p>
        </w:tc>
        <w:tc>
          <w:tcPr>
            <w:tcW w:w="12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39" w:type="dxa"/>
            <w:vMerge w:val="continue"/>
            <w:tcBorders>
              <w:tl2br w:val="nil"/>
              <w:tr2bl w:val="nil"/>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3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成本指标</w:t>
            </w:r>
          </w:p>
        </w:tc>
        <w:tc>
          <w:tcPr>
            <w:tcW w:w="101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成本指标</w:t>
            </w:r>
          </w:p>
        </w:tc>
        <w:tc>
          <w:tcPr>
            <w:tcW w:w="4117"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群众对信访工作满意度评价指标，信访局的年度工作完成良好。</w:t>
            </w:r>
          </w:p>
        </w:tc>
        <w:tc>
          <w:tcPr>
            <w:tcW w:w="2333"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群众对信访工作的满意度达到90%以上。</w:t>
            </w:r>
          </w:p>
        </w:tc>
        <w:tc>
          <w:tcPr>
            <w:tcW w:w="9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9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12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39" w:type="dxa"/>
            <w:vMerge w:val="continue"/>
            <w:tcBorders>
              <w:tl2br w:val="nil"/>
              <w:tr2bl w:val="nil"/>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3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（30分）</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kern w:val="2"/>
                <w:sz w:val="20"/>
                <w:szCs w:val="20"/>
                <w:lang w:val="en-US" w:eastAsia="zh-CN" w:bidi="ar-SA"/>
              </w:rPr>
            </w:pP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01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4117"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一是建立健全基层信访工作网络；二是要完善源头化解的工作机制；三要拓宽社会力量参与的制度渠道。</w:t>
            </w:r>
          </w:p>
        </w:tc>
        <w:tc>
          <w:tcPr>
            <w:tcW w:w="2333"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开发湖南省智慧信访信息系统，满足各级信访工作需求。</w:t>
            </w:r>
          </w:p>
        </w:tc>
        <w:tc>
          <w:tcPr>
            <w:tcW w:w="9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9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12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139" w:type="dxa"/>
            <w:vMerge w:val="continue"/>
            <w:tcBorders>
              <w:tl2br w:val="nil"/>
              <w:tr2bl w:val="nil"/>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3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01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4117"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有效解决信访重点领域、重点群众、重点人员的信访问题，保持社会稳定。</w:t>
            </w:r>
          </w:p>
        </w:tc>
        <w:tc>
          <w:tcPr>
            <w:tcW w:w="2333"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化解重点领域信访问题，解决信访群众重点难题达到90%以上。</w:t>
            </w:r>
          </w:p>
        </w:tc>
        <w:tc>
          <w:tcPr>
            <w:tcW w:w="9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9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12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139" w:type="dxa"/>
            <w:vMerge w:val="continue"/>
            <w:tcBorders>
              <w:tl2br w:val="nil"/>
              <w:tr2bl w:val="nil"/>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103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01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4117"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一是加强网上信访和群众“人民来信”信访渠道建设，让群众少跑腿，信息多跑路；二是加强督查督办力度，突出解决重点问题。</w:t>
            </w:r>
          </w:p>
        </w:tc>
        <w:tc>
          <w:tcPr>
            <w:tcW w:w="2333"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distribute"/>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加强网上信访的开发和指导，鼓励人民群众通过来信、网上投诉等反映问题，减少信访成本。</w:t>
            </w:r>
          </w:p>
        </w:tc>
        <w:tc>
          <w:tcPr>
            <w:tcW w:w="9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w:t>
            </w:r>
          </w:p>
        </w:tc>
        <w:tc>
          <w:tcPr>
            <w:tcW w:w="9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w:t>
            </w:r>
          </w:p>
        </w:tc>
        <w:tc>
          <w:tcPr>
            <w:tcW w:w="12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9" w:type="dxa"/>
            <w:vMerge w:val="continue"/>
            <w:tcBorders>
              <w:tl2br w:val="nil"/>
              <w:tr2bl w:val="nil"/>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3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可持续影响指标</w:t>
            </w:r>
          </w:p>
        </w:tc>
        <w:tc>
          <w:tcPr>
            <w:tcW w:w="101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可持续影响指标</w:t>
            </w:r>
          </w:p>
        </w:tc>
        <w:tc>
          <w:tcPr>
            <w:tcW w:w="4117"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一是保障信访工作的连续性，建立健全解决信访突出问题化解机制；二是加强信访网上信访信息系统智能化建设和保障好“人民来信”绿色通道建设；三是加强部门协调，提高办理群众来信来访和网上信访的工作力度。</w:t>
            </w:r>
          </w:p>
        </w:tc>
        <w:tc>
          <w:tcPr>
            <w:tcW w:w="2333"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distribute"/>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信访工作的化解率达到95%以上。</w:t>
            </w:r>
          </w:p>
        </w:tc>
        <w:tc>
          <w:tcPr>
            <w:tcW w:w="9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w:t>
            </w:r>
          </w:p>
        </w:tc>
        <w:tc>
          <w:tcPr>
            <w:tcW w:w="9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w:t>
            </w:r>
          </w:p>
        </w:tc>
        <w:tc>
          <w:tcPr>
            <w:tcW w:w="12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139" w:type="dxa"/>
            <w:vMerge w:val="continue"/>
            <w:tcBorders>
              <w:tl2br w:val="nil"/>
              <w:tr2bl w:val="nil"/>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103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（10分）</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服务对象满意度指标</w:t>
            </w:r>
          </w:p>
        </w:tc>
        <w:tc>
          <w:tcPr>
            <w:tcW w:w="101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服务对象满意度指标</w:t>
            </w:r>
          </w:p>
        </w:tc>
        <w:tc>
          <w:tcPr>
            <w:tcW w:w="4117"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distribute"/>
              <w:textAlignment w:val="auto"/>
              <w:rPr>
                <w:rFonts w:hint="eastAsia" w:ascii="Times New Roman" w:hAnsi="Times New Roman" w:eastAsia="仿宋_GB2312" w:cs="Times New Roman"/>
                <w:color w:val="000000"/>
                <w:sz w:val="20"/>
                <w:szCs w:val="20"/>
                <w:lang w:val="en" w:eastAsia="zh-CN"/>
              </w:rPr>
            </w:pPr>
            <w:r>
              <w:rPr>
                <w:rFonts w:hint="default" w:ascii="Times New Roman" w:hAnsi="Times New Roman" w:eastAsia="仿宋_GB2312" w:cs="Times New Roman"/>
                <w:color w:val="000000"/>
                <w:sz w:val="20"/>
                <w:szCs w:val="20"/>
              </w:rPr>
              <w:t>　一是完善全省信访信息系统群众满意度评价体系；二是督促指导信访人做好信访事项初信初访满意度评价，信访人满意度达到90以上；三是加大治理重复信访、化解信访积案重点问题力度，解决好本专区、本部门本系统信访突出矛盾</w:t>
            </w:r>
            <w:r>
              <w:rPr>
                <w:rFonts w:hint="eastAsia" w:ascii="Times New Roman" w:hAnsi="Times New Roman" w:eastAsia="仿宋_GB2312" w:cs="Times New Roman"/>
                <w:color w:val="000000"/>
                <w:sz w:val="20"/>
                <w:szCs w:val="20"/>
                <w:lang w:eastAsia="zh-CN"/>
              </w:rPr>
              <w:t>。</w:t>
            </w:r>
          </w:p>
        </w:tc>
        <w:tc>
          <w:tcPr>
            <w:tcW w:w="2333"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distribute"/>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全省群众满意度测评率达到</w:t>
            </w:r>
            <w:r>
              <w:rPr>
                <w:rFonts w:hint="eastAsia" w:ascii="Times New Roman" w:hAnsi="Times New Roman" w:eastAsia="仿宋_GB2312" w:cs="Times New Roman"/>
                <w:color w:val="000000"/>
                <w:sz w:val="20"/>
                <w:szCs w:val="20"/>
                <w:lang w:val="en-US" w:eastAsia="zh-CN"/>
              </w:rPr>
              <w:t>90</w:t>
            </w:r>
            <w:r>
              <w:rPr>
                <w:rFonts w:hint="default" w:ascii="Times New Roman" w:hAnsi="Times New Roman" w:eastAsia="仿宋_GB2312" w:cs="Times New Roman"/>
                <w:color w:val="000000"/>
                <w:sz w:val="20"/>
                <w:szCs w:val="20"/>
              </w:rPr>
              <w:t>%以上</w:t>
            </w:r>
          </w:p>
        </w:tc>
        <w:tc>
          <w:tcPr>
            <w:tcW w:w="9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9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12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信访人不会运用信访信息系统进行评价，导致满意度评价不高。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0689" w:type="dxa"/>
            <w:gridSpan w:val="10"/>
            <w:tcBorders>
              <w:tl2br w:val="nil"/>
              <w:tr2bl w:val="nil"/>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900" w:type="dxa"/>
            <w:gridSpan w:val="2"/>
            <w:tcBorders>
              <w:tl2br w:val="nil"/>
              <w:tr2bl w:val="nil"/>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985" w:type="dxa"/>
            <w:tcBorders>
              <w:tl2br w:val="nil"/>
              <w:tr2bl w:val="nil"/>
            </w:tcBorders>
            <w:noWrap w:val="0"/>
            <w:vAlign w:val="center"/>
          </w:tcPr>
          <w:p>
            <w:pPr>
              <w:widowControl/>
              <w:spacing w:line="24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98.8</w:t>
            </w:r>
          </w:p>
        </w:tc>
        <w:tc>
          <w:tcPr>
            <w:tcW w:w="1265" w:type="dxa"/>
            <w:tcBorders>
              <w:tl2br w:val="nil"/>
              <w:tr2bl w:val="nil"/>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bl>
    <w:p>
      <w:pP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 xml:space="preserve">  </w:t>
      </w:r>
    </w:p>
    <w:p>
      <w:pPr>
        <w:ind w:firstLine="880" w:firstLineChars="400"/>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范建平</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填报日期：</w:t>
      </w:r>
      <w:r>
        <w:rPr>
          <w:rFonts w:hint="eastAsia" w:ascii="Times New Roman" w:hAnsi="Times New Roman" w:eastAsia="仿宋_GB2312" w:cs="Times New Roman"/>
          <w:sz w:val="22"/>
          <w:lang w:val="en-US" w:eastAsia="zh-CN"/>
        </w:rPr>
        <w:t>2023年5月22</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联系电话：</w:t>
      </w:r>
      <w:r>
        <w:rPr>
          <w:rFonts w:hint="eastAsia" w:ascii="Times New Roman" w:hAnsi="Times New Roman" w:eastAsia="仿宋_GB2312" w:cs="Times New Roman"/>
          <w:sz w:val="22"/>
          <w:lang w:val="en-US" w:eastAsia="zh-CN"/>
        </w:rPr>
        <w:t>81125819</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单位负责人签字：</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NjY4MzY3YzJiNjI0NzkxYzgxNjBiZGI3OGNjZDYifQ=="/>
  </w:docVars>
  <w:rsids>
    <w:rsidRoot w:val="3C087575"/>
    <w:rsid w:val="3C087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2023-06-26T03:39:00Z</dcterms:created>
  <dc:creator>胡楠</dc:creator>
  <cp:lastModifiedBy>胡楠</cp:lastModifiedBy>
  <dcterms:modified xsi:type="dcterms:W3CDTF">2023-06-26T03:42:42Z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FB9EB07AC855452F816D5A2E3DC60C09_11</vt:lpwstr>
  </property>
</Properties>
</file>